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f707138841d89433a4302e5661939cf71e5ea"/>
    <w:p>
      <w:pPr>
        <w:pStyle w:val="Heading3"/>
      </w:pPr>
      <w:r>
        <w:t xml:space="preserve">Работы, выполненные за счет средств полученных от платных парковок, с 21 по 31 октября 2014 года</w:t>
      </w:r>
    </w:p>
    <w:p>
      <w:pPr>
        <w:pStyle w:val="FirstParagraph"/>
      </w:pPr>
      <w:r>
        <w:t xml:space="preserve">31.10.2014</w:t>
      </w:r>
    </w:p>
    <w:p>
      <w:pPr>
        <w:pStyle w:val="BodyText"/>
      </w:pPr>
      <w:r>
        <w:t xml:space="preserve">ул. 1905 года, д.5  - комплексное благоустройство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детская площадка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дорожка к детской площадке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детская площадка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АБП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http://presnya.mos.ru/where-the-money-from-paid-parking/detail/1385165.html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where-the-money-from-paid-parking/detail/1385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where-the-money-from-paid-parking/detail/1385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2025-06-07T05:23:12Z</dcterms:created>
  <dcterms:modified xsi:type="dcterms:W3CDTF">2025-06-07T05:23:12Z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