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8a5fe6db0e7a8ff1142464046d45d955a865b"/>
    <w:p>
      <w:pPr>
        <w:pStyle w:val="Heading3"/>
      </w:pPr>
      <w:r>
        <w:t xml:space="preserve">Внешний вид нового состава «Москва» выберут горожане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t xml:space="preserve">В павильоне Московского центрального диаметра 26 июля установили стойку, где посетители смогут посмотреть варианты внешнего вида нового поезда.</w:t>
      </w:r>
    </w:p>
    <w:p>
      <w:pPr>
        <w:pStyle w:val="BodyText"/>
      </w:pPr>
      <w:r>
        <w:t xml:space="preserve">Кроме того, гости смогут задать интересующие их вопросы консультанту. Он расскажет горожанам о различных особенностях поезда. Жители города смогут внимательно рассмотреть варианты «масок» нового состава. По результатам голосования будет выбран внешний вид поезда.</w:t>
      </w:r>
    </w:p>
    <w:p>
      <w:pPr>
        <w:pStyle w:val="BodyText"/>
      </w:pPr>
      <w:r>
        <w:t xml:space="preserve">Отметим, что помимо этого, новый состав «Москва» станет вместительнее, тише и комфортабельнее.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http://presnya.mos.ru/presscenter/news/detail/8249715.html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249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249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2025-08-05T22:46:09Z</dcterms:created>
  <dcterms:modified xsi:type="dcterms:W3CDTF">2025-08-05T22:46:09Z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