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280eb1767797de69b2c587feffe1e52e3d53b2"/>
    <w:p>
      <w:pPr>
        <w:pStyle w:val="Heading3"/>
      </w:pPr>
      <w:r>
        <w:t xml:space="preserve">С 1 по 20 июля 2019 года проводится декларационная кампания за 2 квартал 2019 года</w:t>
      </w:r>
    </w:p>
    <w:p>
      <w:pPr>
        <w:pStyle w:val="FirstParagraph"/>
      </w:pPr>
      <w:r>
        <w:t xml:space="preserve">16.07.2019</w:t>
      </w:r>
    </w:p>
    <w:p>
      <w:pPr>
        <w:pStyle w:val="BodyText"/>
      </w:pPr>
      <w:r>
        <w:rPr>
          <w:bCs/>
          <w:b/>
        </w:rPr>
        <w:t xml:space="preserve">Внимание</w:t>
      </w:r>
      <w:r>
        <w:rPr>
          <w:bCs/>
          <w:b/>
        </w:rPr>
        <w:t xml:space="preserve"> </w:t>
      </w:r>
      <w:r>
        <w:rPr>
          <w:bCs/>
          <w:b/>
        </w:rPr>
        <w:t xml:space="preserve"> </w:t>
      </w:r>
      <w:r>
        <w:rPr>
          <w:bCs/>
          <w:b/>
        </w:rPr>
        <w:t xml:space="preserve">участников</w:t>
      </w:r>
      <w:r>
        <w:rPr>
          <w:bCs/>
          <w:b/>
        </w:rPr>
        <w:t xml:space="preserve"> </w:t>
      </w:r>
      <w:r>
        <w:rPr>
          <w:bCs/>
          <w:b/>
        </w:rPr>
        <w:t xml:space="preserve"> </w:t>
      </w:r>
      <w:r>
        <w:rPr>
          <w:bCs/>
          <w:b/>
        </w:rPr>
        <w:t xml:space="preserve">алкогольного</w:t>
      </w:r>
      <w:r>
        <w:rPr>
          <w:bCs/>
          <w:b/>
        </w:rPr>
        <w:t xml:space="preserve"> </w:t>
      </w:r>
      <w:r>
        <w:rPr>
          <w:bCs/>
          <w:b/>
        </w:rPr>
        <w:t xml:space="preserve"> </w:t>
      </w:r>
      <w:r>
        <w:rPr>
          <w:bCs/>
          <w:b/>
        </w:rPr>
        <w:t xml:space="preserve">рынка!</w:t>
      </w:r>
    </w:p>
    <w:p>
      <w:pPr>
        <w:pStyle w:val="BodyText"/>
      </w:pPr>
      <w:r>
        <w:rPr>
          <w:bCs/>
          <w:b/>
        </w:rPr>
        <w:t xml:space="preserve">С 1 по 20 июля 2019 года</w:t>
      </w:r>
      <w:r>
        <w:t xml:space="preserve"> </w:t>
      </w:r>
      <w:r>
        <w:t xml:space="preserve">проводится декларационная кампания</w:t>
      </w:r>
      <w:r>
        <w:t xml:space="preserve"> </w:t>
      </w:r>
      <w:r>
        <w:rPr>
          <w:bCs/>
          <w:b/>
        </w:rPr>
        <w:t xml:space="preserve">за 2 квартал 2019 года.</w:t>
      </w:r>
    </w:p>
    <w:p>
      <w:pPr>
        <w:pStyle w:val="BodyText"/>
      </w:pPr>
      <w:r>
        <w:t xml:space="preserve">Декларации об</w:t>
      </w:r>
      <w:r>
        <w:t xml:space="preserve"> </w:t>
      </w:r>
      <w:r>
        <w:t xml:space="preserve"> </w:t>
      </w:r>
      <w:r>
        <w:t xml:space="preserve">объеме</w:t>
      </w:r>
      <w:r>
        <w:t xml:space="preserve"> </w:t>
      </w:r>
      <w:r>
        <w:t xml:space="preserve"> </w:t>
      </w:r>
      <w:r>
        <w:t xml:space="preserve">розничной</w:t>
      </w:r>
      <w:r>
        <w:t xml:space="preserve"> </w:t>
      </w:r>
      <w:r>
        <w:t xml:space="preserve"> </w:t>
      </w:r>
      <w:r>
        <w:t xml:space="preserve">продажи</w:t>
      </w:r>
      <w:r>
        <w:t xml:space="preserve"> </w:t>
      </w:r>
      <w:r>
        <w:t xml:space="preserve"> </w:t>
      </w:r>
      <w:r>
        <w:t xml:space="preserve">алкогольной продукции</w:t>
      </w:r>
      <w:r>
        <w:t xml:space="preserve"> </w:t>
      </w:r>
      <w:r>
        <w:t xml:space="preserve"> </w:t>
      </w:r>
      <w:r>
        <w:t xml:space="preserve">и</w:t>
      </w:r>
      <w:r>
        <w:t xml:space="preserve"> </w:t>
      </w:r>
      <w:r>
        <w:t xml:space="preserve"> </w:t>
      </w:r>
      <w:r>
        <w:t xml:space="preserve">спиртосодержащей непищевой продукции, с содержанием этилового спирта более 25 процентов</w:t>
      </w:r>
      <w:r>
        <w:t xml:space="preserve"> </w:t>
      </w:r>
      <w:r>
        <w:t xml:space="preserve"> </w:t>
      </w:r>
      <w:r>
        <w:t xml:space="preserve">по</w:t>
      </w:r>
      <w:r>
        <w:t xml:space="preserve"> </w:t>
      </w:r>
      <w:r>
        <w:t xml:space="preserve"> </w:t>
      </w:r>
      <w:r>
        <w:t xml:space="preserve">форме 11, декларации</w:t>
      </w:r>
      <w:r>
        <w:t xml:space="preserve"> </w:t>
      </w:r>
      <w:r>
        <w:t xml:space="preserve"> </w:t>
      </w:r>
      <w:r>
        <w:t xml:space="preserve">об</w:t>
      </w:r>
      <w:r>
        <w:t xml:space="preserve"> </w:t>
      </w:r>
      <w:r>
        <w:t xml:space="preserve"> </w:t>
      </w:r>
      <w:r>
        <w:t xml:space="preserve">объеме</w:t>
      </w:r>
      <w:r>
        <w:t xml:space="preserve"> </w:t>
      </w:r>
      <w:r>
        <w:t xml:space="preserve"> </w:t>
      </w:r>
      <w:r>
        <w:t xml:space="preserve">розничной</w:t>
      </w:r>
      <w:r>
        <w:t xml:space="preserve"> </w:t>
      </w:r>
      <w:r>
        <w:t xml:space="preserve"> </w:t>
      </w:r>
      <w:r>
        <w:t xml:space="preserve">продажи</w:t>
      </w:r>
      <w:r>
        <w:t xml:space="preserve"> </w:t>
      </w:r>
      <w:r>
        <w:t xml:space="preserve"> </w:t>
      </w:r>
      <w:r>
        <w:t xml:space="preserve">пива</w:t>
      </w:r>
      <w:r>
        <w:t xml:space="preserve"> </w:t>
      </w:r>
      <w:r>
        <w:t xml:space="preserve"> </w:t>
      </w:r>
      <w:r>
        <w:t xml:space="preserve">и пивных напитков, сидра, пуаре, медовухи по</w:t>
      </w:r>
      <w:r>
        <w:t xml:space="preserve"> </w:t>
      </w:r>
      <w:r>
        <w:t xml:space="preserve"> </w:t>
      </w:r>
      <w:r>
        <w:t xml:space="preserve">форме</w:t>
      </w:r>
      <w:r>
        <w:t xml:space="preserve"> </w:t>
      </w:r>
      <w:r>
        <w:t xml:space="preserve"> </w:t>
      </w:r>
      <w:r>
        <w:t xml:space="preserve"> </w:t>
      </w:r>
      <w:r>
        <w:t xml:space="preserve">12</w:t>
      </w:r>
      <w:r>
        <w:t xml:space="preserve"> </w:t>
      </w:r>
      <w:r>
        <w:t xml:space="preserve"> </w:t>
      </w:r>
      <w:r>
        <w:t xml:space="preserve">за 2 квартал 2019 года необходимо подать</w:t>
      </w:r>
      <w:r>
        <w:t xml:space="preserve"> </w:t>
      </w:r>
      <w:r>
        <w:rPr>
          <w:bCs/>
          <w:b/>
        </w:rPr>
        <w:t xml:space="preserve">до 20 июля 2019 года</w:t>
      </w:r>
      <w:r>
        <w:t xml:space="preserve"> </w:t>
      </w:r>
      <w:r>
        <w:rPr>
          <w:bCs/>
          <w:b/>
        </w:rPr>
        <w:t xml:space="preserve">на региональную площадку города Москвы</w:t>
      </w:r>
      <w:r>
        <w:t xml:space="preserve"> </w:t>
      </w:r>
      <w:r>
        <w:rPr>
          <w:bCs/>
          <w:b/>
        </w:rPr>
        <w:t xml:space="preserve">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rPr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Просим обратить внимание на выбор региона регистрации Вашей организации при представлении декларации.</w:t>
      </w:r>
      <w:r>
        <w:t xml:space="preserve"> </w:t>
      </w:r>
    </w:p>
    <w:p>
      <w:pPr>
        <w:pStyle w:val="BodyText"/>
      </w:pPr>
      <w:r>
        <w:t xml:space="preserve">Организации, имеющие лицензию</w:t>
      </w:r>
      <w:r>
        <w:t xml:space="preserve"> </w:t>
      </w:r>
      <w:r>
        <w:rPr>
          <w:bCs/>
          <w:b/>
        </w:rPr>
        <w:t xml:space="preserve">на розничную продажу алкогольной продукции при оказании услуг общественного питания</w:t>
      </w:r>
      <w:r>
        <w:t xml:space="preserve">,</w:t>
      </w:r>
      <w:r>
        <w:t xml:space="preserve"> </w:t>
      </w:r>
      <w:r>
        <w:rPr>
          <w:bCs/>
          <w:b/>
        </w:rPr>
        <w:t xml:space="preserve">имеющие лицензию на розничную продажу алкогольной продукции, размещенной на бортах воздушных судов в качестве припасов в соответствии с правом ЕАЭС и законодательством Российской Федерации о таможенном деле, а также помещаемой под таможенную процедуру беспошлинной торговли</w:t>
      </w:r>
      <w:r>
        <w:t xml:space="preserve"> </w:t>
      </w:r>
      <w:r>
        <w:t xml:space="preserve">и зарегистрированные на территории города Москвы представляют декларации по форме 11, а также по форме 12 при наличии оборота пива и пивных напитков.</w:t>
      </w:r>
    </w:p>
    <w:p>
      <w:pPr>
        <w:pStyle w:val="BodyText"/>
      </w:pPr>
      <w:r>
        <w:t xml:space="preserve">Организации, имеющие лицензию</w:t>
      </w:r>
      <w:r>
        <w:t xml:space="preserve"> </w:t>
      </w:r>
      <w:r>
        <w:rPr>
          <w:bCs/>
          <w:b/>
        </w:rPr>
        <w:t xml:space="preserve">на розничную продажу алкогольной продукции</w:t>
      </w:r>
      <w:r>
        <w:t xml:space="preserve">, при наличии оборота пива и пивных напитков, сидра, пуаре, медовухи,</w:t>
      </w:r>
      <w:r>
        <w:t xml:space="preserve"> </w:t>
      </w:r>
      <w:r>
        <w:t xml:space="preserve"> </w:t>
      </w:r>
      <w:r>
        <w:t xml:space="preserve">а также организации и индивидуальные предприниматели, осуществляющие розничную продажу исключительно пива и пивных напитков, сидра, пуаре, медовухи, обязаны представлять декларации по форме 12. </w:t>
      </w:r>
    </w:p>
    <w:p>
      <w:pPr>
        <w:pStyle w:val="BodyText"/>
      </w:pPr>
      <w:r>
        <w:t xml:space="preserve">Представление деклараций по форме 11 является прямой обязанностью юридического лица, имеющего действующую лицензию на розничную продажу алкогольной продукции при оказании услуг общественного питания, до момента окончания срока действия лицензии в независимости осуществляет или нет лицензионную деятельность юридическое лицо, приостановлена ли лицензия.</w:t>
      </w:r>
      <w:r>
        <w:t xml:space="preserve"> </w:t>
      </w:r>
    </w:p>
    <w:p>
      <w:pPr>
        <w:pStyle w:val="BodyText"/>
      </w:pPr>
      <w:r>
        <w:t xml:space="preserve">Организациями, имевшими</w:t>
      </w:r>
      <w:r>
        <w:t xml:space="preserve"> </w:t>
      </w:r>
      <w:r>
        <w:t xml:space="preserve"> </w:t>
      </w:r>
      <w:r>
        <w:t xml:space="preserve"> </w:t>
      </w:r>
      <w:r>
        <w:t xml:space="preserve">в</w:t>
      </w:r>
      <w:r>
        <w:t xml:space="preserve"> </w:t>
      </w:r>
      <w:r>
        <w:t xml:space="preserve"> </w:t>
      </w:r>
      <w:r>
        <w:t xml:space="preserve">отчетном</w:t>
      </w:r>
      <w:r>
        <w:t xml:space="preserve"> </w:t>
      </w:r>
      <w:r>
        <w:t xml:space="preserve"> </w:t>
      </w:r>
      <w:r>
        <w:t xml:space="preserve">периоде действующие лицензии,</w:t>
      </w:r>
      <w:r>
        <w:t xml:space="preserve">   </w:t>
      </w:r>
      <w:r>
        <w:t xml:space="preserve"> </w:t>
      </w:r>
      <w:r>
        <w:t xml:space="preserve">декларации представляются</w:t>
      </w:r>
      <w:r>
        <w:t xml:space="preserve"> </w:t>
      </w:r>
      <w:r>
        <w:t xml:space="preserve"> </w:t>
      </w:r>
      <w:r>
        <w:t xml:space="preserve">в</w:t>
      </w:r>
      <w:r>
        <w:t xml:space="preserve"> </w:t>
      </w:r>
      <w:r>
        <w:t xml:space="preserve"> </w:t>
      </w:r>
      <w:r>
        <w:t xml:space="preserve">установленном</w:t>
      </w:r>
      <w:r>
        <w:t xml:space="preserve"> </w:t>
      </w:r>
      <w:r>
        <w:t xml:space="preserve"> </w:t>
      </w:r>
      <w:r>
        <w:t xml:space="preserve">действующим</w:t>
      </w:r>
      <w:r>
        <w:t xml:space="preserve"> </w:t>
      </w:r>
      <w:r>
        <w:t xml:space="preserve"> </w:t>
      </w:r>
      <w:r>
        <w:t xml:space="preserve">законодательством</w:t>
      </w:r>
      <w:r>
        <w:t xml:space="preserve"> </w:t>
      </w:r>
      <w:r>
        <w:t xml:space="preserve"> </w:t>
      </w:r>
      <w:r>
        <w:t xml:space="preserve">порядке, при отсутствии в</w:t>
      </w:r>
      <w:r>
        <w:t xml:space="preserve"> </w:t>
      </w:r>
      <w:r>
        <w:t xml:space="preserve"> </w:t>
      </w:r>
      <w:r>
        <w:t xml:space="preserve">отчетном периоде оборота алкогольной</w:t>
      </w:r>
      <w:r>
        <w:t xml:space="preserve"> </w:t>
      </w:r>
      <w:r>
        <w:t xml:space="preserve"> </w:t>
      </w:r>
      <w:r>
        <w:t xml:space="preserve">продукции в</w:t>
      </w:r>
      <w:r>
        <w:t xml:space="preserve"> </w:t>
      </w:r>
      <w:r>
        <w:t xml:space="preserve"> </w:t>
      </w:r>
      <w:r>
        <w:t xml:space="preserve">декларациях указываются нулевые показатели.</w:t>
      </w:r>
      <w:r>
        <w:t xml:space="preserve"> </w:t>
      </w:r>
    </w:p>
    <w:p>
      <w:pPr>
        <w:pStyle w:val="BodyText"/>
      </w:pPr>
      <w:r>
        <w:t xml:space="preserve">Обращаем внимание, что постановлением Правительства Российской Федерации от 29.12.2018 № 1719 внесены изменения в Правила представления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мощностей, об объеме собранного винограда и использованного для производства винодельческой продукции винограда (декларации об объеме розничной продажи алкогольной и спиртосодержащей продукции представляются по форме 7, декларации об объеме розничной продажи пива и пивных напитков, сидра, пуаре, медовухи по форме</w:t>
      </w:r>
      <w:r>
        <w:t xml:space="preserve"> </w:t>
      </w:r>
      <w:r>
        <w:t xml:space="preserve"> </w:t>
      </w:r>
      <w:r>
        <w:t xml:space="preserve">8).</w:t>
      </w:r>
    </w:p>
    <w:p>
      <w:pPr>
        <w:pStyle w:val="BodyText"/>
      </w:pPr>
      <w:r>
        <w:t xml:space="preserve">Вместе с тем, до момента утверждения Минфином России нового формата и порядка заполнения деклараций, декларации представляются по формам 11 и 12 соответственно в соответствии с действующим форматом, утвержденным приказом Росалкогольрегулирования от 05.08.2013 № 198, и порядком заполнения деклараций, утвержденным приказом Росалкогольрегулирования от 23.08.2012 № 231.</w:t>
      </w:r>
    </w:p>
    <w:p>
      <w:pPr>
        <w:pStyle w:val="BodyText"/>
      </w:pPr>
      <w:r>
        <w:t xml:space="preserve">Департаментом торговли и услуг города Москвы осуществляется</w:t>
      </w:r>
      <w:r>
        <w:t xml:space="preserve"> </w:t>
      </w:r>
      <w:r>
        <w:t xml:space="preserve">государственный контроль за представлением деклараций об объеме розничной продажи алкогольной и спиртосодержащей продукции</w:t>
      </w:r>
      <w:r>
        <w:t xml:space="preserve"> </w:t>
      </w:r>
      <w:r>
        <w:t xml:space="preserve"> </w:t>
      </w:r>
      <w:r>
        <w:t xml:space="preserve">в рамках исполнения</w:t>
      </w:r>
      <w:r>
        <w:t xml:space="preserve"> </w:t>
      </w:r>
      <w:r>
        <w:t xml:space="preserve">постановления Правительства Москвы от 6 апреля 2017 г. № 176-ПП «Об осуществлении государственного контроля за представлением деклараций об объеме розничной продажи алкогольной и спиртосодержащей продукции».</w:t>
      </w:r>
    </w:p>
    <w:p>
      <w:pPr>
        <w:pStyle w:val="BodyText"/>
      </w:pPr>
      <w:r>
        <w:t xml:space="preserve">За нарушение требований законодательства в части нарушения порядка и сроков представления деклараций предусмотрены следующие меры ответственности.</w:t>
      </w:r>
    </w:p>
    <w:p>
      <w:pPr>
        <w:pStyle w:val="BodyText"/>
      </w:pPr>
      <w:r>
        <w:t xml:space="preserve">В соответствии со ст.15.13 КоАП РФ предусмотрена административная ответственность за искажение информации и (или) нарушение порядка и сроков представление деклараций в виде наложения административного штрафа в размере от 5-ти до 10-ти тысяч рублей на должностных лиц, от 50-ти до 100 тысяч рублей на юридических лиц.</w:t>
      </w:r>
    </w:p>
    <w:p>
      <w:pPr>
        <w:pStyle w:val="BodyText"/>
      </w:pPr>
      <w:r>
        <w:t xml:space="preserve">Согласно требованиям статьи 14, п.1 ст. 20, ст. 26 Федерального закона от 22.11.1995 г. № 171-ФЗ</w:t>
      </w:r>
      <w:r>
        <w:t xml:space="preserve"> </w:t>
      </w:r>
      <w:r>
        <w:t xml:space="preserve"> </w:t>
      </w:r>
      <w:r>
        <w:t xml:space="preserve">лицензия на розничную продажу алкогольной продукции аннулируется решением суда в случае уклонения от подачи деклараций, повторного в течение одного года несвоевременного представления деклараций в лицензирующий орган.</w:t>
      </w:r>
    </w:p>
    <w:p>
      <w:pPr>
        <w:pStyle w:val="BodyText"/>
      </w:pPr>
      <w:r>
        <w:t xml:space="preserve">Основанием для отказа в предоставлении государственной услуги при продлении/переоформлении лицензии, согласно п. 2.11.1.2 Административного регламента, утвержденного постановлением Правительства Москвы от 21.02.2012 № 59-ПП, является искажение и (или) непредставление в установленные сроки декларации об объеме розничной продажи алкогольной продукции.</w:t>
      </w:r>
      <w:r>
        <w:t xml:space="preserve"> 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8(495)621-18-58.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http://presnya.mos.ru/presscenter/news/detail/8223110.html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8223110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8223110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2025-08-05T09:11:37Z</dcterms:created>
  <dcterms:modified xsi:type="dcterms:W3CDTF">2025-08-05T09:11:37Z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