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e5a6339c9e17ee519ad408805f64c02e33397"/>
    <w:p>
      <w:pPr>
        <w:pStyle w:val="Heading3"/>
      </w:pPr>
      <w:r>
        <w:t xml:space="preserve">Участниками столичных вебинаров стали бизнесмены из 80 регионов России</w:t>
      </w:r>
    </w:p>
    <w:p>
      <w:pPr>
        <w:pStyle w:val="FirstParagraph"/>
      </w:pPr>
      <w:r>
        <w:t xml:space="preserve">27.07.2018</w:t>
      </w:r>
    </w:p>
    <w:p>
      <w:pPr>
        <w:pStyle w:val="BodyText"/>
      </w:pPr>
      <w:r>
        <w:t xml:space="preserve">Предприниматели из 80 регионов России поучаствовали в столичных обучающих вебинарах, проинформировали 26 июля.</w:t>
      </w:r>
    </w:p>
    <w:p>
      <w:pPr>
        <w:pStyle w:val="BodyText"/>
      </w:pPr>
      <w:r>
        <w:t xml:space="preserve">— Мы активно привлекаем бизнесменов из других городов к участию в наших образовательных программах на портале поставщиков. Главная задача — показать предпринимателям, что рынок закупок доступен для компаний вне зависимости от географического положения, — отметила Наталья Сергунина, заместитель мэра Москвы по вопросам экономической политики и имущественно-земельных отношений.</w:t>
      </w:r>
    </w:p>
    <w:p>
      <w:pPr>
        <w:pStyle w:val="BodyText"/>
      </w:pPr>
      <w:r>
        <w:t xml:space="preserve">Размещать свои предложения на портале уже могут компании из 11 регионов. Это Калининградская, Кемеровская, Новгородская, Ульяновская, Тамбовская области и другие,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http://presnya.mos.ru/presscenter/news/detail/7474315.html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7474315.html" TargetMode="External" /><Relationship Type="http://schemas.openxmlformats.org/officeDocument/2006/relationships/hyperlink" Id="rId20" Target="https://www.mos.ru/news/item/431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7474315.html" TargetMode="External" /><Relationship Type="http://schemas.openxmlformats.org/officeDocument/2006/relationships/hyperlink" Id="rId20" Target="https://www.mos.ru/news/item/431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2025-01-04T22:59:20Z</dcterms:created>
  <dcterms:modified xsi:type="dcterms:W3CDTF">2025-01-04T22:59:20Z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