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9abbe280764901ddde271f5418207299949875"/>
    <w:p>
      <w:pPr>
        <w:pStyle w:val="Heading3"/>
      </w:pPr>
      <w:r>
        <w:t xml:space="preserve">Итоги конкурса «Мир, который делает нас лучше» станут известны в декабре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197/konkurs-d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конкурса «Мир, который делает нас лучше» подведут в Доме-музее Антона Чехова 22 декабря. Мероприятие состоится в рамках выставки «Каштанка. Секрет вечной молодости».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литературного конкурса соревнуются в двух номинациях: рассказ-история «Твое любимое животное» и эссе «Почему Каштанка вернулась к прежним хозяевам?».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номинациях выделяются несколько возрастных категорий: 1-2 класс, 3-4 и 5-7.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конкурсе принимаются с 5 сентября. На сегодняшний день их подано 186. Чтобы побороться за главный приз, необходимо </w:t>
      </w:r>
      <w:hyperlink r:id="rId23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наградят по адресу: улица Садовая-Кудринская, дом 6, строение 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http://presnya.mos.ru/presscenter/news/detail/7013642.html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oslitmuz.ru/projects/172/4639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13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slitmuz.ru/projects/172/4639/" TargetMode="Externa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013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2025-02-20T16:33:55Z</dcterms:created>
  <dcterms:modified xsi:type="dcterms:W3CDTF">2025-02-20T16:33:55Z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