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fdd0dcc9f5aa7d0ee037a31cd320663a93f069"/>
    <w:p>
      <w:pPr>
        <w:pStyle w:val="Heading3"/>
      </w:pPr>
      <w:r>
        <w:t xml:space="preserve">Предпринимателям рекомендовано повысить доступность объектов торговли и услуг для инвалидов в рамках выполнения требований Федерального закона 419-ФЗ от 01.12.2014 года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rPr>
          <w:bCs/>
          <w:b/>
        </w:rPr>
        <w:t xml:space="preserve">Уважаемые руководители предприятий потребительского рынка и услуг!</w:t>
      </w:r>
    </w:p>
    <w:p>
      <w:pPr>
        <w:pStyle w:val="BodyText"/>
      </w:pPr>
      <w:r>
        <w:t xml:space="preserve">27.02.2019</w:t>
      </w:r>
    </w:p>
    <w:p>
      <w:pPr>
        <w:pStyle w:val="BodyText"/>
      </w:pPr>
      <w:r>
        <w:t xml:space="preserve">В рамках выполнения требований Федерального закона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>
        <w:t xml:space="preserve"> </w:t>
      </w:r>
      <w:r>
        <w:rPr>
          <w:iCs/>
          <w:i/>
          <w:bCs/>
          <w:b/>
        </w:rPr>
        <w:t xml:space="preserve">рекомендовано руководителям негосударственных организаций (компаний)</w:t>
      </w:r>
      <w:r>
        <w:t xml:space="preserve">:</w:t>
      </w:r>
    </w:p>
    <w:p>
      <w:pPr>
        <w:pStyle w:val="BodyText"/>
      </w:pPr>
      <w:r>
        <w:t xml:space="preserve">1. Соответствующими приказами назначить сотрудников организаций, предоставляющих услуги населению, ответственных за организацию работу по обеспечению доступности объектов торговли и услуг, за сопровождение инвалидов и оказание им необходимой помощи, а также организовать их обучение в соответствии с методическими материалами (прилагаются).</w:t>
      </w:r>
    </w:p>
    <w:p>
      <w:pPr>
        <w:pStyle w:val="BodyText"/>
      </w:pPr>
      <w:r>
        <w:t xml:space="preserve">2. Внести необходимые изменения в должностные инструкции и положения в части организации работы по обеспечению доступности услуг, сопровождению инвалидов и оказанию им необходимой помощи в преодолении препятствий.</w:t>
      </w:r>
    </w:p>
    <w:p>
      <w:pPr>
        <w:pStyle w:val="BodyText"/>
      </w:pPr>
      <w:r>
        <w:t xml:space="preserve">3. Разработать и утвердить паспорта доступности объектов, на которых предоставляются услуги населению.</w:t>
      </w:r>
    </w:p>
    <w:p>
      <w:pPr>
        <w:pStyle w:val="BodyText"/>
      </w:pPr>
      <w:r>
        <w:t xml:space="preserve">4. Разработать и утвердить планы мероприятий по повышению значений показателей доступности для инвалидов объектов торговли и услуг (дорожные карты).</w:t>
      </w:r>
    </w:p>
    <w:p>
      <w:pPr>
        <w:pStyle w:val="BodyText"/>
      </w:pPr>
      <w:r>
        <w:t xml:space="preserve">Приложения:</w:t>
      </w:r>
    </w:p>
    <w:p>
      <w:pPr>
        <w:pStyle w:val="BodyText"/>
      </w:pPr>
      <w:r>
        <w:t xml:space="preserve">-</w:t>
      </w:r>
      <w:hyperlink r:id="rId20">
        <w:r>
          <w:rPr>
            <w:rStyle w:val="Hyperlink"/>
          </w:rPr>
          <w:t xml:space="preserve">паспорт доступности для инвалидов общественного здания на 1 л. в 1 экз.</w:t>
        </w:r>
      </w:hyperlink>
      <w:r>
        <w:t xml:space="preserve">;</w:t>
      </w:r>
    </w:p>
    <w:p>
      <w:pPr>
        <w:pStyle w:val="BodyText"/>
      </w:pPr>
      <w:r>
        <w:t xml:space="preserve">-</w:t>
      </w:r>
      <w:hyperlink r:id="rId21">
        <w:r>
          <w:rPr>
            <w:rStyle w:val="Hyperlink"/>
          </w:rPr>
          <w:t xml:space="preserve">анкета обследования доступности для инвалидов общественного здания на 12 л. в 1 экз</w:t>
        </w:r>
      </w:hyperlink>
      <w:r>
        <w:t xml:space="preserve">.;</w:t>
      </w:r>
    </w:p>
    <w:p>
      <w:pPr>
        <w:pStyle w:val="BodyText"/>
      </w:pPr>
      <w:r>
        <w:t xml:space="preserve">-</w:t>
      </w:r>
      <w:hyperlink r:id="rId22">
        <w:r>
          <w:rPr>
            <w:rStyle w:val="Hyperlink"/>
          </w:rPr>
          <w:t xml:space="preserve">рекомендации по заполнению паспортов доступности на 3 л. в 1 экз</w:t>
        </w:r>
      </w:hyperlink>
      <w:r>
        <w:t xml:space="preserve">.;</w:t>
      </w:r>
    </w:p>
    <w:p>
      <w:pPr>
        <w:pStyle w:val="BodyText"/>
      </w:pPr>
      <w:r>
        <w:t xml:space="preserve">-</w:t>
      </w:r>
      <w:hyperlink r:id="rId23">
        <w:r>
          <w:rPr>
            <w:rStyle w:val="Hyperlink"/>
          </w:rPr>
          <w:t xml:space="preserve">пособие по обследованию и заполнению анкеты доступности для инвалидов общественных зданий на 126 л. в 1 экз.</w:t>
        </w:r>
      </w:hyperlink>
      <w:r>
        <w:t xml:space="preserve">;</w:t>
      </w:r>
    </w:p>
    <w:p>
      <w:pPr>
        <w:pStyle w:val="BodyText"/>
      </w:pPr>
      <w:r>
        <w:t xml:space="preserve">-</w:t>
      </w:r>
      <w:hyperlink r:id="rId24">
        <w:r>
          <w:rPr>
            <w:rStyle w:val="Hyperlink"/>
          </w:rPr>
          <w:t xml:space="preserve">справочник значений параметров анкеты обследования доступности для инвалидов общественного здания на 50 л. в 1 экз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http://presnya.mos.ru/presscenter/news/detail/673487.html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anketa_dlya_samostoyatelnogo_zapolneniya.doc" TargetMode="External" /><Relationship Type="http://schemas.openxmlformats.org/officeDocument/2006/relationships/hyperlink" Id="rId20" Target="/pasport_zdaniya_dlya_samostoyatelnogo_zapolneniya.doc" TargetMode="External" /><Relationship Type="http://schemas.openxmlformats.org/officeDocument/2006/relationships/hyperlink" Id="rId23" Target="/posobie_po_obsledovaniyu.pdf" TargetMode="External" /><Relationship Type="http://schemas.openxmlformats.org/officeDocument/2006/relationships/hyperlink" Id="rId24" Target="/spravochnik_s_kartinkami_dlya_anketirovaniya.pdf" TargetMode="External" /><Relationship Type="http://schemas.openxmlformats.org/officeDocument/2006/relationships/hyperlink" Id="rId22" Target="/&#1056;&#1045;&#1050;&#1054;&#1052;&#1045;&#1053;&#1044;&#1040;&#1062;&#1048;&#1048;%20&#1055;&#1054;%20&#1047;&#1040;&#1055;&#1054;&#1051;&#1053;&#1045;&#1053;&#1048;&#1070;%20&#1055;&#1040;&#1057;&#1055;&#1054;&#1056;&#1058;&#1054;&#1042;%20&#1044;&#1054;&#1057;&#1058;&#1059;&#1055;&#1053;&#1054;&#1057;&#1058;&#1048;.docx" TargetMode="External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673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anketa_dlya_samostoyatelnogo_zapolneniya.doc" TargetMode="External" /><Relationship Type="http://schemas.openxmlformats.org/officeDocument/2006/relationships/hyperlink" Id="rId20" Target="/pasport_zdaniya_dlya_samostoyatelnogo_zapolneniya.doc" TargetMode="External" /><Relationship Type="http://schemas.openxmlformats.org/officeDocument/2006/relationships/hyperlink" Id="rId23" Target="/posobie_po_obsledovaniyu.pdf" TargetMode="External" /><Relationship Type="http://schemas.openxmlformats.org/officeDocument/2006/relationships/hyperlink" Id="rId24" Target="/spravochnik_s_kartinkami_dlya_anketirovaniya.pdf" TargetMode="External" /><Relationship Type="http://schemas.openxmlformats.org/officeDocument/2006/relationships/hyperlink" Id="rId22" Target="/&#1056;&#1045;&#1050;&#1054;&#1052;&#1045;&#1053;&#1044;&#1040;&#1062;&#1048;&#1048;%20&#1055;&#1054;%20&#1047;&#1040;&#1055;&#1054;&#1051;&#1053;&#1045;&#1053;&#1048;&#1070;%20&#1055;&#1040;&#1057;&#1055;&#1054;&#1056;&#1058;&#1054;&#1042;%20&#1044;&#1054;&#1057;&#1058;&#1059;&#1055;&#1053;&#1054;&#1057;&#1058;&#1048;.docx" TargetMode="External" /><Relationship Type="http://schemas.openxmlformats.org/officeDocument/2006/relationships/hyperlink" Id="rId26" Target="http://presnya.mos.ru" TargetMode="External" /><Relationship Type="http://schemas.openxmlformats.org/officeDocument/2006/relationships/hyperlink" Id="rId25" Target="http://presnya.mos.ru/presscenter/news/detail/673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2024-12-21T09:53:05Z</dcterms:created>
  <dcterms:modified xsi:type="dcterms:W3CDTF">2024-12-21T09:53:05Z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