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53eb56f597caaca871f188235eb2b33b77a49"/>
    <w:p>
      <w:pPr>
        <w:pStyle w:val="Heading3"/>
      </w:pPr>
      <w:r>
        <w:t xml:space="preserve">С 1 по 20 января 2023 года проводится декларационная кампания за 4 квартал 2022 года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2022 года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 </w:t>
      </w:r>
      <w:r>
        <w:rPr>
          <w:bCs/>
          <w:b/>
        </w:rPr>
        <w:t xml:space="preserve">подать до 20 января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 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</w:t>
      </w:r>
      <w:r>
        <w:t xml:space="preserve"> 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</w:t>
      </w:r>
      <w:r>
        <w:t xml:space="preserve"> </w:t>
      </w:r>
      <w:r>
        <w:t xml:space="preserve">и пива, но</w:t>
      </w:r>
      <w:r>
        <w:t xml:space="preserve"> </w:t>
      </w:r>
      <w:r>
        <w:t xml:space="preserve"> 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</w:t>
      </w:r>
      <w:r>
        <w:t xml:space="preserve"> 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http://presnya.mos.ru/presscenter/news/detail/11339317.html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1339317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1339317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2024-12-19T03:02:11Z</dcterms:created>
  <dcterms:modified xsi:type="dcterms:W3CDTF">2024-12-19T03:02:11Z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