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c474b65b2c14d5ed8410088e1d0f927ffac9d2"/>
    <w:p>
      <w:pPr>
        <w:pStyle w:val="Heading3"/>
      </w:pPr>
      <w:r>
        <w:t xml:space="preserve">О порядке и сроках проведения государственной регистрации аттракционов</w:t>
      </w:r>
    </w:p>
    <w:p>
      <w:pPr>
        <w:pStyle w:val="FirstParagraph"/>
      </w:pPr>
      <w:r>
        <w:t xml:space="preserve">16.09.2021</w:t>
      </w:r>
    </w:p>
    <w:p>
      <w:pPr>
        <w:pStyle w:val="BodyText"/>
      </w:pPr>
      <w:r>
        <w:rPr>
          <w:bCs/>
          <w:b/>
        </w:rPr>
        <w:t xml:space="preserve">Инспекция по надзору за аттракционами (далее -</w:t>
      </w:r>
      <w:r>
        <w:rPr>
          <w:bCs/>
          <w:b/>
        </w:rPr>
        <w:t xml:space="preserve">  </w:t>
      </w:r>
      <w:r>
        <w:rPr>
          <w:bCs/>
          <w:b/>
        </w:rPr>
        <w:t xml:space="preserve">Инспекция) осуществляет исполнение государственной функции по осуществлению регионального государственного надзора в области технического состояния и эксплуатации аттракционов в городе Москве в соответствии с Административным регламентом, утвержденным постановлением Правительства Москвы от 2 марта 2021 г.</w:t>
      </w:r>
      <w:r>
        <w:rPr>
          <w:bCs/>
          <w:b/>
        </w:rPr>
        <w:t xml:space="preserve">  </w:t>
      </w:r>
      <w:r>
        <w:rPr>
          <w:bCs/>
          <w:b/>
        </w:rPr>
        <w:t xml:space="preserve">№ 241-ПП.</w:t>
      </w:r>
    </w:p>
    <w:p>
      <w:pPr>
        <w:pStyle w:val="BodyText"/>
      </w:pPr>
      <w:r>
        <w:t xml:space="preserve">Административным регламентом предоставления государственной услуги «Государственная регистрация аттракционов в городе Москве», утвержденного постановлением Правительства Москвы от 4 июня 2020 г. </w:t>
      </w:r>
      <w:r>
        <w:t xml:space="preserve">  </w:t>
      </w:r>
      <w:r>
        <w:t xml:space="preserve">№ 740-ПП (далее - Административный регламент), предусмотрено, что государственной регистрации в Инспекции подлежат аттракционы, виды и типы которых предусмотрены приложением №1 технического регламента Евразийского экономического союза «О безопасности аттракционов»</w:t>
      </w:r>
      <w:r>
        <w:t xml:space="preserve">  </w:t>
      </w:r>
      <w:r>
        <w:t xml:space="preserve">(ТР ЕАЭС 038/2016, далее – технический регламент), имеющие степени потенциального биомеханического риска RB-1, RB-2 и RB-3 (выдержка из технического регламента прилагается). </w:t>
      </w:r>
    </w:p>
    <w:p>
      <w:pPr>
        <w:pStyle w:val="BodyText"/>
      </w:pPr>
      <w:r>
        <w:t xml:space="preserve">Аттракционы с ничтожной степенью потенциального биомеханического риска (RB-4) государственной регистрации и надзору в Инспекции не подлежат. </w:t>
      </w:r>
    </w:p>
    <w:p>
      <w:pPr>
        <w:pStyle w:val="BodyText"/>
      </w:pPr>
      <w:r>
        <w:t xml:space="preserve">Для установления принадлежности аттракционов к области применения</w:t>
      </w:r>
      <w:r>
        <w:t xml:space="preserve">  </w:t>
      </w:r>
      <w:r>
        <w:t xml:space="preserve">технического регламента эксплуатанту необходимо провести их идентификацию, обратившись в любой из аккредитованных органов по сертификации, информация о которых размещена на официальном сайте Федеральной службы по аккредитации (Росаккредитация) в сети Интернет, где на странице Реестра аккредитованных лиц (https://pub.fsa.gov.ru/ral)</w:t>
      </w:r>
      <w:r>
        <w:t xml:space="preserve">  </w:t>
      </w:r>
      <w:r>
        <w:t xml:space="preserve">в поле «Технический регламент ЕАЭС» необходимо выбрать область</w:t>
      </w:r>
      <w:r>
        <w:t xml:space="preserve">  </w:t>
      </w:r>
      <w:r>
        <w:t xml:space="preserve">применения «ТР ЕАЭС 038/2016 О безопасности аттракционов».</w:t>
      </w:r>
    </w:p>
    <w:p>
      <w:pPr>
        <w:pStyle w:val="BodyText"/>
      </w:pPr>
      <w:r>
        <w:rPr>
          <w:iCs/>
          <w:i/>
          <w:bCs/>
          <w:b/>
        </w:rPr>
        <w:t xml:space="preserve">Аттракционы, ранее зарегистрированные</w:t>
      </w:r>
      <w:r>
        <w:rPr>
          <w:iCs/>
          <w:i/>
        </w:rPr>
        <w:t xml:space="preserve"> в Инспекции, </w:t>
      </w:r>
      <w:r>
        <w:t xml:space="preserve">которые по результатам идентификации отнесены к области применения технического регламента (аттракционы со</w:t>
      </w:r>
      <w:r>
        <w:rPr>
          <w:iCs/>
          <w:i/>
        </w:rPr>
        <w:t xml:space="preserve"> </w:t>
      </w:r>
      <w:r>
        <w:t xml:space="preserve">степенями потенциального биомеханического риска RB-1, RB-2 и RB-3) </w:t>
      </w:r>
      <w:r>
        <w:rPr>
          <w:bCs/>
          <w:b/>
        </w:rPr>
        <w:t xml:space="preserve">подлежат обязательной</w:t>
      </w:r>
      <w:r>
        <w:t xml:space="preserve"> </w:t>
      </w:r>
      <w:r>
        <w:rPr>
          <w:bCs/>
          <w:b/>
        </w:rPr>
        <w:t xml:space="preserve">государственной регистрации. </w:t>
      </w:r>
    </w:p>
    <w:p>
      <w:pPr>
        <w:pStyle w:val="BodyText"/>
      </w:pPr>
      <w:r>
        <w:rPr>
          <w:iCs/>
          <w:i/>
          <w:bCs/>
          <w:b/>
        </w:rPr>
        <w:t xml:space="preserve">Аттракционы, ранее незарегистрированные</w:t>
      </w:r>
      <w:r>
        <w:rPr>
          <w:iCs/>
          <w:i/>
        </w:rPr>
        <w:t xml:space="preserve"> в Инспекции</w:t>
      </w:r>
      <w:r>
        <w:t xml:space="preserve"> </w:t>
      </w:r>
      <w:r>
        <w:rPr>
          <w:iCs/>
          <w:i/>
        </w:rPr>
        <w:t xml:space="preserve">и введенные</w:t>
      </w:r>
      <w:r>
        <w:rPr>
          <w:iCs/>
          <w:i/>
        </w:rPr>
        <w:t xml:space="preserve"> </w:t>
      </w:r>
      <w:r>
        <w:rPr>
          <w:iCs/>
          <w:i/>
        </w:rPr>
        <w:t xml:space="preserve">в эксплуатацию до 9 апреля 2020 года</w:t>
      </w:r>
      <w:r>
        <w:t xml:space="preserve">, которые по результатам идентификации отнесены к области применения технического регламента (аттракционы со</w:t>
      </w:r>
      <w:r>
        <w:rPr>
          <w:iCs/>
          <w:i/>
        </w:rPr>
        <w:t xml:space="preserve"> </w:t>
      </w:r>
      <w:r>
        <w:t xml:space="preserve">степенями потенциального биомеханического риска RB-1, RB-2 и RB-3), </w:t>
      </w:r>
      <w:r>
        <w:rPr>
          <w:bCs/>
          <w:b/>
        </w:rPr>
        <w:t xml:space="preserve">подлежат государственной регистрации в сроки,</w:t>
      </w:r>
      <w:r>
        <w:t xml:space="preserve"> установленные постановлением Правительства Москвы от 4 июня 2020 года № 740-ПП, </w:t>
      </w:r>
      <w:r>
        <w:rPr>
          <w:bCs/>
          <w:b/>
        </w:rPr>
        <w:t xml:space="preserve">в зависимости от степени их потенциального биомеханического риска:</w:t>
      </w:r>
    </w:p>
    <w:p>
      <w:pPr>
        <w:pStyle w:val="BodyText"/>
      </w:pPr>
      <w:r>
        <w:t xml:space="preserve">- с высокой степенью потенциального биомеханического риска (RB-1) – </w:t>
      </w:r>
      <w:r>
        <w:rPr>
          <w:bCs/>
          <w:b/>
        </w:rPr>
        <w:t xml:space="preserve">до 9 апреля 2022 г</w:t>
      </w:r>
      <w:r>
        <w:t xml:space="preserve">.;</w:t>
      </w:r>
    </w:p>
    <w:p>
      <w:pPr>
        <w:pStyle w:val="BodyText"/>
      </w:pPr>
      <w:r>
        <w:t xml:space="preserve">- со средней степенью потенциального биомеханического риска (RB-2) – </w:t>
      </w:r>
      <w:r>
        <w:rPr>
          <w:bCs/>
          <w:b/>
        </w:rPr>
        <w:t xml:space="preserve">до 9 июля 2022 г</w:t>
      </w:r>
      <w:r>
        <w:t xml:space="preserve">.;</w:t>
      </w:r>
    </w:p>
    <w:p>
      <w:pPr>
        <w:pStyle w:val="BodyText"/>
      </w:pPr>
      <w:r>
        <w:t xml:space="preserve">- с низкой степенью потенциального биомеханического риска (RB-3) – </w:t>
      </w:r>
      <w:r>
        <w:rPr>
          <w:bCs/>
          <w:b/>
        </w:rPr>
        <w:t xml:space="preserve">до 9 октября 2022 г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Аттракционы, впервые вводимые в эксплуатацию на территории Российской Федерации после 9 апреля 2020 года,</w:t>
      </w:r>
      <w:r>
        <w:t xml:space="preserve"> которые по результатам идентификации отнесены к области применения технического регламента (аттракционы со</w:t>
      </w:r>
      <w:r>
        <w:rPr>
          <w:iCs/>
          <w:i/>
        </w:rPr>
        <w:t xml:space="preserve"> </w:t>
      </w:r>
      <w:r>
        <w:t xml:space="preserve">степенями потенциального биомеханического риска RB-1, RB-2 и RB-3) </w:t>
      </w:r>
      <w:r>
        <w:rPr>
          <w:bCs/>
          <w:b/>
        </w:rPr>
        <w:t xml:space="preserve">подлежат обязательной</w:t>
      </w:r>
      <w:r>
        <w:t xml:space="preserve"> </w:t>
      </w:r>
      <w:r>
        <w:rPr>
          <w:bCs/>
          <w:b/>
        </w:rPr>
        <w:t xml:space="preserve">государственной регистрации до ввода их в эксплуатацию.</w:t>
      </w:r>
    </w:p>
    <w:p>
      <w:pPr>
        <w:pStyle w:val="BodyText"/>
      </w:pPr>
      <w:r>
        <w:t xml:space="preserve">Особое внимание следует уделять эксплуатации различного развлекательного оборудования, в том числе надувным аттракционам (батуты надувные, горки, лабиринты), которое размещается на подведомственных территориях, в том числе на временной основе (на период проведения культурно-досуговых мероприятий) и в соответствии с классификацией технического регламента подлежит обязательной государственной регистрации в Инспекции в сроки, указанные выше. С учетом высокой мобильности надувных аттракционов (быстрой смены места установки) со стороны их эксплуатантов возможно недобросовестное отношение к соблюдению обязательных требований в части технического состояния и эксплуатации аттракционов. </w:t>
      </w:r>
    </w:p>
    <w:p>
      <w:pPr>
        <w:pStyle w:val="BodyText"/>
      </w:pPr>
      <w:r>
        <w:t xml:space="preserve">Ответственность за исправное техническое состояние аттракциона и эксплуатацию несет его владелец (эксплуатант). Наличие у эксплуатанта государственного регистрационного знака и свидетельства о государственной регистрации аттракциона, оформленных в соответствии с требованиями Административного регламента, подтверждает прохождение аттракционом процедуры государственной регистрации в Инспекции.</w:t>
      </w:r>
    </w:p>
    <w:p>
      <w:pPr>
        <w:pStyle w:val="BodyText"/>
      </w:pPr>
      <w:r>
        <w:t xml:space="preserve">Предоставление государственной услуги «Государственная регистрация аттракционов в городе Москве» осуществляется Инспекцией исключительно в электронной форме на портале mos.ru.</w:t>
      </w:r>
    </w:p>
    <w:p>
      <w:pPr>
        <w:pStyle w:val="BodyText"/>
      </w:pPr>
      <w:r>
        <w:t xml:space="preserve">Заявление на получение государственной услуги необходимо подавать через «Каталог услуг для бизнеса» в разделе «Транспорт и аттракционы» при выборе подраздела «Аттракционы» на портале mos.ru. Там же можно ознакомиться с информацией о порядке предоставления государственной услуги.</w:t>
      </w:r>
    </w:p>
    <w:p>
      <w:pPr>
        <w:pStyle w:val="BodyText"/>
      </w:pPr>
      <w:r>
        <w:t xml:space="preserve">Эксплуатантам аттракционов рекомендуем заблаговременно обратиться</w:t>
      </w:r>
      <w:r>
        <w:t xml:space="preserve"> </w:t>
      </w:r>
      <w:r>
        <w:t xml:space="preserve">в Инспекцию для прохождения процедуры государственной регистрации аттракционов (до истечения установленных законодательством сроков регистрации).</w:t>
      </w:r>
    </w:p>
    <w:p>
      <w:pPr>
        <w:pStyle w:val="BodyText"/>
      </w:pPr>
      <w:r>
        <w:t xml:space="preserve">При необходимости, сведения об идентификации аттракционов с ничтожной степенью потенциального биомеханического риска (RB-4) с приложением заверенных копий подтверждающих документов, эксплуатант может направить на адрес электронной почты Инспекции </w:t>
      </w:r>
      <w:hyperlink r:id="rId20">
        <w:r>
          <w:rPr>
            <w:rStyle w:val="Hyperlink"/>
            <w:bCs/>
            <w:b/>
          </w:rPr>
          <w:t xml:space="preserve">att.sgtn@mos.ru</w:t>
        </w:r>
      </w:hyperlink>
      <w:r>
        <w:t xml:space="preserve">.</w:t>
      </w:r>
    </w:p>
    <w:p>
      <w:pPr>
        <w:pStyle w:val="BodyText"/>
      </w:pPr>
      <w:r>
        <w:t xml:space="preserve">За несоблюдение правил размещения, регистрации и эксплуатации аттракционов предусмотрена административная ответственность в соответствии с Кодексом города Москвы об административных правонарушениях.</w:t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Выдержка из технического регламента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http://presnya.mos.ru/presscenter/news/detail/10258584.html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presscenter/news/detail/10258584.html" TargetMode="External" /><Relationship Type="http://schemas.openxmlformats.org/officeDocument/2006/relationships/hyperlink" Id="rId21" Target="https://cao.mos.ru/upload/%D0%9F%D1%80%D0%B8%D0%BB%D0%BE%D0%B6%D0%B5%D0%BD%D0%B8%D0%B5%20-%20%D0%92%D0%B8%D0%B4%D1%8B%20%D0%B8%20%D1%82%D0%B8%D0%BF%D1%8B%20%D0%BF%D0%B0%D1%80%D0%B0%D0%BC%D0%B5%D1%82%D1%80%D1%8B%20%D0%B1%D0%B8%D0%BE%D0%BC%D0%B5%D1%85%D0%B0%D0%BD%D0%B8%D1%87%D0%B5%D1%81%D0%BA%D0%B8%D1%85%20%D1%80%D0%B8%D1%81%D0%BA%D0%BE%D0%B2%20%D0%B0%D1%82%D1%82%D1%80%D0%B0%D0%BA%D1%86%D0%B8%D0%BE%D0%BD%D0%BE%D0%B2.docx" TargetMode="External" /><Relationship Type="http://schemas.openxmlformats.org/officeDocument/2006/relationships/hyperlink" Id="rId20" Target="mailto:att.sgtn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presscenter/news/detail/10258584.html" TargetMode="External" /><Relationship Type="http://schemas.openxmlformats.org/officeDocument/2006/relationships/hyperlink" Id="rId21" Target="https://cao.mos.ru/upload/%D0%9F%D1%80%D0%B8%D0%BB%D0%BE%D0%B6%D0%B5%D0%BD%D0%B8%D0%B5%20-%20%D0%92%D0%B8%D0%B4%D1%8B%20%D0%B8%20%D1%82%D0%B8%D0%BF%D1%8B%20%D0%BF%D0%B0%D1%80%D0%B0%D0%BC%D0%B5%D1%82%D1%80%D1%8B%20%D0%B1%D0%B8%D0%BE%D0%BC%D0%B5%D1%85%D0%B0%D0%BD%D0%B8%D1%87%D0%B5%D1%81%D0%BA%D0%B8%D1%85%20%D1%80%D0%B8%D1%81%D0%BA%D0%BE%D0%B2%20%D0%B0%D1%82%D1%82%D1%80%D0%B0%D0%BA%D1%86%D0%B8%D0%BE%D0%BD%D0%BE%D0%B2.docx" TargetMode="External" /><Relationship Type="http://schemas.openxmlformats.org/officeDocument/2006/relationships/hyperlink" Id="rId20" Target="mailto:att.sgtn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2025-06-06T02:48:17Z</dcterms:created>
  <dcterms:modified xsi:type="dcterms:W3CDTF">2025-06-06T02:48:17Z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