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2008dcf45eca34a5074ddad42c159b51faf19d5"/>
    <w:p>
      <w:pPr>
        <w:pStyle w:val="Heading3"/>
      </w:pPr>
      <w:r>
        <w:t xml:space="preserve">ЧАСТЬ 2 Рекомендации по типовым вопросам заполнения и представления в налоговый орган в соответствии с пунктом 9 статьи 58 НК РФ уведомлений об исчисленных суммах налогов, авансовых платежей по налогам в части налогообложения имущества организаций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drawing>
          <wp:inline>
            <wp:extent cx="5334000" cy="75593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93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25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5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717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363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0361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3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294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2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010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0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35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presnya.mos.ru/www/Рекомендации%20по%20типовым%20вопросам%20заполнения%20и%20представления%20в%20налоговый%20орган%20в%20соответствии%20с%20пунктом%209%20статьи%2058%20НК%20РФ%20уведомлени_page-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http://presnya.mos.ru/important-in-the-area/detail/11561188.html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presnya.mos.ru" TargetMode="External" /><Relationship Type="http://schemas.openxmlformats.org/officeDocument/2006/relationships/hyperlink" Id="rId44" Target="http://presnya.mos.ru/important-in-the-area/detail/11561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presnya.mos.ru" TargetMode="External" /><Relationship Type="http://schemas.openxmlformats.org/officeDocument/2006/relationships/hyperlink" Id="rId44" Target="http://presnya.mos.ru/important-in-the-area/detail/11561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2025-08-05T22:47:41Z</dcterms:created>
  <dcterms:modified xsi:type="dcterms:W3CDTF">2025-08-05T22:47:41Z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