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3654fa17c090d749a4012bf583a2131384447"/>
    <w:p>
      <w:pPr>
        <w:pStyle w:val="Heading3"/>
      </w:pPr>
      <w:r>
        <w:t xml:space="preserve">Приказ управы Пресненского района от 13.11.2020 № 133-к "О внесении изменений в приказ управы от 17.05.2018 № 53-к (с изменениями от 03.08.2020"</w:t>
      </w:r>
    </w:p>
    <w:p>
      <w:pPr>
        <w:pStyle w:val="FirstParagraph"/>
      </w:pPr>
      <w:r>
        <w:t xml:space="preserve">16.11.2020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http://presnya.mos.ru/anti-corruption/the-commission-for-observance-of-requirements-for-the-official-behaviour-of-state-civil-employees-of/detail/9428074.html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94280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anti-corruption/the-commission-for-observance-of-requirements-for-the-official-behaviour-of-state-civil-employees-of/detail/94280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2025-01-23T19:38:55Z</dcterms:created>
  <dcterms:modified xsi:type="dcterms:W3CDTF">2025-01-23T19:38:55Z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