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289d5bccbfe744b08499d2aa206dc91892055"/>
    <w:p>
      <w:pPr>
        <w:pStyle w:val="Heading3"/>
      </w:pPr>
      <w:r>
        <w:t xml:space="preserve">Состав комиссии управы Пресненского района города Москвы по соблюдению требований к служебному поведению государственных гражданских служащих и урегулированию конфликта интересов</w:t>
      </w:r>
    </w:p>
    <w:p>
      <w:pPr>
        <w:pStyle w:val="FirstParagraph"/>
      </w:pPr>
      <w:r>
        <w:t xml:space="preserve">23.03.2016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http://presnya.mos.ru/anti-corruption/the-commission-for-observance-of-requirements-for-the-official-behaviour-of-state-civil-employees-of/detail/2642359.html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anti-corruption/the-commission-for-observance-of-requirements-for-the-official-behaviour-of-state-civil-employees-of/detail/26423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anti-corruption/the-commission-for-observance-of-requirements-for-the-official-behaviour-of-state-civil-employees-of/detail/26423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2025-06-23T00:13:04Z</dcterms:created>
  <dcterms:modified xsi:type="dcterms:W3CDTF">2025-06-23T00:13:04Z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