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f42b43002a94094eba032b982eae7bc17924eb"/>
    <w:p>
      <w:pPr>
        <w:pStyle w:val="Heading3"/>
      </w:pPr>
      <w:r>
        <w:t xml:space="preserve">МЕТОДИЧЕСКИЕ РЕКОМЕНДАЦИИ по вопросам соблюдения ограничений, налагаемых на гражданина, замещавшего должность государственной (муниципальной) службы, при заключении им трудового или гражданско-правового договора с организацией</w:t>
      </w:r>
    </w:p>
    <w:p>
      <w:pPr>
        <w:pStyle w:val="FirstParagraph"/>
      </w:pPr>
      <w:r>
        <w:t xml:space="preserve">30.08.2018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http://presnya.mos.ru/anti-corruption/methodical-materials/detail/7541549.html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anti-corruption/methodical-materials/detail/75415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anti-corruption/methodical-materials/detail/75415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2025-06-27T04:41:30Z</dcterms:created>
  <dcterms:modified xsi:type="dcterms:W3CDTF">2025-06-27T04:41:30Z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