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fd07d2350f51cd1d8d94c8925bba340f63616"/>
    <w:p>
      <w:pPr>
        <w:pStyle w:val="Heading3"/>
      </w:pPr>
      <w:r>
        <w:t xml:space="preserve">Обращение гражданина, юр.л. во фактам коррупционных правонарушений</w:t>
      </w:r>
    </w:p>
    <w:p>
      <w:pPr>
        <w:pStyle w:val="FirstParagraph"/>
      </w:pPr>
      <w:r>
        <w:t xml:space="preserve">21.12.2018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http://presnya.mos.ru/anti-corruption/forms-of-documents-related-to-anti-corruption-for-filling/detail/7784522.html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forms-of-documents-related-to-anti-corruption-for-filling/detail/7784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forms-of-documents-related-to-anti-corruption-for-filling/detail/7784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2025-02-24T20:30:38Z</dcterms:created>
  <dcterms:modified xsi:type="dcterms:W3CDTF">2025-02-24T20:30:38Z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